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81" w:rsidRDefault="00654E81" w:rsidP="0030085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Қосымша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Сатып алынатын тауарларғасипаттама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  <w:sz w:val="20"/>
          <w:szCs w:val="20"/>
        </w:rPr>
        <w:t>Приложение 2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654E81" w:rsidRDefault="00654E81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4899" w:type="dxa"/>
        <w:tblInd w:w="93" w:type="dxa"/>
        <w:tblLook w:val="04A0"/>
      </w:tblPr>
      <w:tblGrid>
        <w:gridCol w:w="559"/>
        <w:gridCol w:w="5902"/>
        <w:gridCol w:w="851"/>
        <w:gridCol w:w="7587"/>
      </w:tblGrid>
      <w:tr w:rsidR="000E6BAE" w:rsidRPr="000E6BAE" w:rsidTr="0030085D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Атау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описание</w:t>
            </w:r>
            <w:r w:rsidR="00305D18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305D18"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Техникалық сипаттама</w:t>
            </w:r>
          </w:p>
        </w:tc>
      </w:tr>
      <w:tr w:rsidR="000E6BAE" w:rsidRPr="000E6BAE" w:rsidTr="0030085D">
        <w:trPr>
          <w:trHeight w:val="38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Ножка бедренная</w:t>
            </w:r>
          </w:p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тотального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Аяқ бесцементной тіркелімнің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тазобедренного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буыныныңтотального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эндопротеза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үшін мықын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тазобедренного сустава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бесцементной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фиксации должен обеспечить достаточный объем движений и стабильность тазобедренного сустава.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Типоразмерный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ряд компонентов должен соответствовать антропометрическим характеристикам человека. Компоненты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эндопротезов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должны поставляться в стерильном виде. Компоненты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тазобедренного сустава: ножка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головка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чашка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вкладыш чашки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Ножка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формы ножек –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безворотничковая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классическая клиновидная,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двумя продольными бороздками по бокам, не имеет каких- либо поперечных ребер или выступов. Тип фиксации в биологических тканях -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пресс-фит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проксимальная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остеоинтеграция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Материал ножки - бета титановый сплав  Ti-12Mo-6Zr-2Fe.Офсет ножки должен изменяться не за счет прямой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латерализации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а за счет изменения угла шейки с 127º в стандартном варианте и на 132º в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латерализованном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Покрытие ножки - плазменное титановое напыление в сочетании с мелкодисперсным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гидроксиапатитовым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покрытием толщиной в 50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µm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циркулярно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только в проксимальной части ножки. Дистальная часть ножки не должна иметь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гидроксиапатитового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покрытия. Конус ножки: 11.3/12.36,  5.40. Количество стандартных типоразмеров: не менее 8 на каждый шеечный угол, всего не менее 16. Офсет - должен прогрессивно увеличиваться с увеличением размера ножки. Диапазон офсета (в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): От 34 до 49 у стандартной ножки и от 38 до 54 мм у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латерализованной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Диапазон длин ножек в (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): от 110 до 145. Шаг у первых 8 размеров 10 мм. Варианты длины шейки в (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): 30, 35, 37, 40. Возможность использования с керамическими головками. Резьбовое отверстие с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противоротационным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углублением, направленным в сторону шейки в проксимальной части ножки для крепления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импактора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E6BAE" w:rsidRPr="000E6BAE" w:rsidTr="0030085D">
        <w:trPr>
          <w:trHeight w:val="11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Головка бедренная для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Бас бесцементной тіркелімнің 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буынының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эндопротеза үшін мықын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Головка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материал изготовления -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CoCr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сплав высокой степени полировки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высокоэнергетической обработкой азотом для снижения коэффициента трения и повышения «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смачиваемости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поверхности. Диапазон диаметров головок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CoCr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(в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для использования в паре с полиэтиленовым или керамическим вкладышем: 22, 26, 28, 32, 36, 40, 44. Диапазон длин головок:  -4, 0, +4, +6, +8, +12 для головок всех диаметров, кроме диаметра в 36 мм и (-5, 0, +5, + 10 для головок 36 мм).</w:t>
            </w:r>
          </w:p>
        </w:tc>
      </w:tr>
      <w:tr w:rsidR="000E6BAE" w:rsidRPr="000E6BAE" w:rsidTr="0030085D">
        <w:trPr>
          <w:trHeight w:val="15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Чашка для тотального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Шыны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аяқ 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буынның тотальногоэндопротеза үшін </w:t>
            </w: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тіркелімге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Чашка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формы чашек – полусферическая, с двойным радиусом (с расширением по периферии чашки на 1.8 мм). Тип фиксации в биологических тканях -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пресс-фит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спонгиозными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винтами. Материал чашки - титановый сплав (Ti-6Al-4V) Варианты расположения отверстий для винтов: без отверстий или с секторным (кластерным) расположением 3 или 5 отверстий, равномерно распределённые 10 отверстий. Чашка без отверстий должна иметь в комплекте заглушку для центрального отверстия. Покрытие чашки: плазменное напыление в сочетании с мелкодисперсным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гидроксиапатитовым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покрытием. Возможность использования вкладышей: полиэтиленовых, металлических, керамических в металлической обойме. Чашка не должна иметь металлического стопорного кольца.</w:t>
            </w:r>
          </w:p>
        </w:tc>
      </w:tr>
      <w:tr w:rsidR="000E6BAE" w:rsidRPr="000E6BAE" w:rsidTr="0030085D">
        <w:trPr>
          <w:trHeight w:val="3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Вкладыш для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тазобедренного сустава </w:t>
            </w: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Қосымша бет бесцементной тіркелімнің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тазобедренногобуынының тотального эндопротеза үшін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Вкладыш чашки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эндопротеза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фиксация вкладышей: полиэтиленовых – зацепление циркулярного пояска с желобком в чашке; металлических и керамических в металлической обойме – посадка на конус.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Деротационная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система вкладышей: полиэтиленовых – зацепление за не менее чем 12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деротационных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зуба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торца чашки прорезей торцевого кольца вкладыша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Металлических и керамических в металлической обойме – конусная посадка; зацепление за, не менее чем, 4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деротационных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зуба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торца чашки прорезей торцевого кольца обоймы вкладыша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Особенности материала полиэтиленовых вкладышей - полиэтилен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ультравысокомолекулярного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веса (UHMWPE) стерилизуемый гамма излучением в азоте либо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сверхвысокомолекулярный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полиэтилен с большим количеством поперечных связей, в процессе производства троекратно подвергнутый воздействию гамма излучением в дозе 3 Мрад (суммарная доза 9 Мрад) и нагреванию до температуры 130 градусов (ниже точки плавления). Кодировка размеров чашек и вкладышей: альфа-код. Диапазоны размеров чашек (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ø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): От 40 мм до 74 мм с шагом по 2 мм. Внутренние диаметры полиэтиленовых вкладышей: 22 мм, 26 мм, 28 мм, 32 мм, 36, 40, 44 мм. Варианты дизайна полиэтиленовых вкладышей: стандартный, с козырьком;  эксцентричный. Варианты угла наклона вкладышей 0º, 10º. Возможность применения керамических вкладышей в чашках диаметром 46 – 70 мм с шагом и металлических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чашка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44-74 мм.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  <w:t xml:space="preserve">Длина 6,5 мм винтов: 16 мм, 20 мм, далее до 60 мм с шагом 5 мм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  <w:t xml:space="preserve">Требования к материалам: Согласно  ISO 5832 и ISO 5834.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  <w:t>Регистрационное удостоверение Минздрава РК. Склад для обмена типоразмеров.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</w:tc>
      </w:tr>
      <w:tr w:rsidR="000E6BAE" w:rsidRPr="000E6BAE" w:rsidTr="0030085D">
        <w:trPr>
          <w:trHeight w:val="29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Бедренный компонент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тотального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Мықынның компонент атаның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буынының тотальногоэндопротеза үшін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Материал: кованый кобальтохромовый сплав. Форма анатомическая (правый и левый). Единый радиус в сагиттальной плоскости в диапазоне от 10 до 110 либо от 0 до 95 либо от -15 до 75  градусов. На внутренней поверхности дистальных мыщелков имеются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деротационные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ножки высотой до 15.5 мм и максимальным диаметром 7 мм либо места для крепления модульных ножек. 6-9 типоразмеров для правого и левого компонентов. Сочетаемость с большеберцовым вкладышем ± 1 размер. Сочетаемость с компонентом надколенника не ограничена. Тип фиксаци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и-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цементная.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Особенность компонента с дополнительной стабилизацией и степенью связанности: обработка несущей поверхности - высокая степень полировки с высокоэнергетической бомбардировкой азотом; обработка внутренней поверхности - вафельная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макротекстура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глубиной 0,75 мм; допустимая наружновнутренняя ротация ±100; запас наружновнутреннего смещения: до ± 2.5 мм; толщина фланцев: передний - 8 мм. 6 стандартных размеров: переднезадние размеры по наружному мыщелку 54 до 76 мм, наружновнутренний от 56 до 81 мм, внутренние переднезадние размеры от 35 до 58, толщина переднего фланца 8 мм, толщина заднего фланца 8 мм. Ширина короба 17-21 мм. Высота короба 20-25 мм. Ширина мыщелков 20-30 мм. Высота основания ножки 42-48 мм. По внутренней поверхности резьбовые отверстия для фиксации задних и дистальных опорных блоков (аугментов).  </w:t>
            </w:r>
          </w:p>
        </w:tc>
      </w:tr>
      <w:tr w:rsidR="000E6BAE" w:rsidRPr="000E6BAE" w:rsidTr="0030085D">
        <w:trPr>
          <w:trHeight w:val="9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Большеберцовый компонент для тотального </w:t>
            </w: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Большеберцовый компонент </w:t>
            </w:r>
            <w:proofErr w:type="gram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үшін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br/>
            </w: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атаның буынының эндопротеза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Материал: кованый кобальтохромовый сплав. Форма: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универсальный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правого и левого суставов. Ножка имеет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килевидную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форму со ступенчатыми боковыми крыльями. Типоразмеры: 6-8 типоразмеров. Толщина: до 3,3 мм. В компоненте с возможностью фиксац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ии ау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гментов и удлинителя ножки имеются 4 отверстия под фиксационные винты и отверстие в ножке для удлинителя ножки.</w:t>
            </w:r>
          </w:p>
        </w:tc>
      </w:tr>
      <w:tr w:rsidR="000E6BAE" w:rsidRPr="000E6BAE" w:rsidTr="0030085D">
        <w:trPr>
          <w:trHeight w:val="292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Вкладыш большеберцовый </w:t>
            </w:r>
            <w:proofErr w:type="gram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тотального </w:t>
            </w: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коленного сустава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Қосымша бет атаның буынының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тотального </w:t>
            </w: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эндопротезаүшін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большеберцовый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Материал: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Сверхвысокомолекулярный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полиэтилен с большим количеством поперечных связей. Особенности производства полиэтилена: троекратно подвергнут воздействию гамма-излучения в дозе 30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(3 мрад) с последующим нагреванием до 130 градусов по Цельсию (ниже температуры плавления полиэтилена). Фиксирующая проволока из кобальтохромового сплава.  Форма 4 варианта: CR для случаев с функционирующей задней крестообразной связкой и CS с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мыщелковой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стабилизацией для случаев с ослабленной или отсутствующей задней крестообразной связкой и PS для замещения крестообразной связки. Верхняя поверхность вкладышей СR, CS, PS имеет форму сферической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дуги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дизайн не ограничивает ротационную подвижность бедренного компонента в пределах ±20 градусов. В переднем отделе артикулирующей поверхности имеется углубление по центру для снижения вероятности конфликта с надколенником. Задний край суставной поверхности вкладыша скошен. В варианте в CS увеличена высота переднего края вкладыша и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межмыщелковой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зоны. Вкладыши универсальны для правого и левого суставов. Особенность вкладыша типа TS: материал - высокомолекулярный полиэтилен стерилизованный гамма излучением в азоте. Стабилизирующий штифт – кобальтохромовый сплав. Встроенный наклон назад = 4°; Высота заднего стабилизатора: 23-27-29 мм; Ширина заднего стабилизатора: 16-20 мм; В передней части имеется фиксационная проволока.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  <w:t xml:space="preserve">Количество типоразмеров: 6-8. Толщина вкладыша с учетом толщины основания большеберцового компонента: 8 -24 мм. Механизм фиксации: защелкивание.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 w:type="page"/>
            </w:r>
          </w:p>
        </w:tc>
      </w:tr>
      <w:tr w:rsidR="000E6BAE" w:rsidRPr="000E6BAE" w:rsidTr="0030085D">
        <w:trPr>
          <w:trHeight w:val="45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27F5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18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Рентгеноконтрастный</w:t>
            </w:r>
            <w:proofErr w:type="spellEnd"/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E6BAE" w:rsidRPr="00F22EC8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костный цемент 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Рентгеноконтрастный</w:t>
            </w:r>
            <w:proofErr w:type="spellEnd"/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305D18" w:rsidRPr="00F22EC8" w:rsidRDefault="00305D18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сүйектің цемент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BAE" w:rsidRPr="000E6BAE" w:rsidRDefault="000E6BAE" w:rsidP="000E6BA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Рентгенконтрастный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костный цемент: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Костный цемент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Должен собой представлять 2 стерильно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упакованных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компонента: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Один компонент: ампула, содержащая жидкий мономер, полная доза  следующего состава: 20 мл.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-М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етилметакрилат (мономер) 19,5 мл, 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-N,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N-диметилтолидин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0,5 мл,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Гидрокинон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1,5 мг.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Другой компонент: пакет полная доза порошка следующего состава 40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-Метилметакрилат–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стирен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кополимер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30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-Полиметилметакрилат 6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-Полиметилметакрилат 6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-Бария Сульфат  4 </w:t>
            </w:r>
            <w:proofErr w:type="spell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Температура экзотермической реакции не более 60</w:t>
            </w:r>
            <w:proofErr w:type="gramStart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˚С</w:t>
            </w:r>
            <w:proofErr w:type="gramEnd"/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Вязкость цемента: Должен обладать средней вязкостью. Костный цемент должен в процессе приготовления проходить через фазы низкой и фазу средней вязкости. Производитель должен официально разрешать применять цемент как в фазе низкой, так и в фазе средней вязкости.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Время работы от 7 до 8 минут. </w:t>
            </w:r>
            <w:r w:rsidRPr="000E6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Стерильность: Система является одноразовой и поставляется в стерильной упаковке.</w:t>
            </w:r>
          </w:p>
        </w:tc>
      </w:tr>
    </w:tbl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6BAE" w:rsidRDefault="000E6BAE" w:rsidP="00654E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1933EF" w:rsidRPr="004D4388" w:rsidRDefault="001933EF" w:rsidP="00922070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4D4388">
        <w:rPr>
          <w:color w:val="000000"/>
          <w:spacing w:val="2"/>
          <w:sz w:val="20"/>
          <w:szCs w:val="20"/>
          <w:lang w:val="kk-KZ"/>
        </w:rPr>
        <w:t>Сатып алынатын медициналық бұйымдарға арналған көрсетудің кепілдендірілген тегін медициналық көмек және медициналық көмек жүйесінде міндетті әлеуметтік медициналық сақтандыру мынадай талаптар қойылады: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К закупаемым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spellStart"/>
      <w:r w:rsidRPr="004D4388">
        <w:rPr>
          <w:color w:val="000000"/>
          <w:spacing w:val="2"/>
          <w:sz w:val="20"/>
          <w:szCs w:val="20"/>
        </w:rPr>
        <w:lastRenderedPageBreak/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дә</w:t>
      </w:r>
      <w:proofErr w:type="gramStart"/>
      <w:r w:rsidRPr="004D4388">
        <w:rPr>
          <w:color w:val="000000"/>
          <w:spacing w:val="2"/>
          <w:sz w:val="20"/>
          <w:szCs w:val="20"/>
        </w:rPr>
        <w:t>р</w:t>
      </w:r>
      <w:proofErr w:type="gramEnd"/>
      <w:r w:rsidRPr="004D4388">
        <w:rPr>
          <w:color w:val="000000"/>
          <w:spacing w:val="2"/>
          <w:sz w:val="20"/>
          <w:szCs w:val="20"/>
        </w:rPr>
        <w:t xml:space="preserve">ілік заттардың, медициналық мақсаттағы бұйымдардың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осы Кодекстің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тәртіппен денсаулық сақтау саласындағы уәкілетті орган 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наличие регистрации лекарственных средств, медицинских изделий в Республике Казахстан в соответствии с положениями </w:t>
      </w:r>
      <w:hyperlink r:id="rId6" w:anchor="z1" w:history="1">
        <w:r w:rsidRPr="004D4388">
          <w:rPr>
            <w:rStyle w:val="a8"/>
            <w:color w:val="073A5E"/>
            <w:spacing w:val="2"/>
            <w:sz w:val="20"/>
            <w:szCs w:val="20"/>
          </w:rPr>
          <w:t>Кодекса</w:t>
        </w:r>
      </w:hyperlink>
      <w:r w:rsidRPr="004D4388">
        <w:rPr>
          <w:color w:val="000000"/>
          <w:spacing w:val="2"/>
          <w:sz w:val="20"/>
          <w:szCs w:val="20"/>
        </w:rPr>
        <w:t xml:space="preserve"> и порядке, определенном уполномоченным органом в области здравоохранения 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proofErr w:type="gramStart"/>
      <w:r w:rsidRPr="004D4388">
        <w:rPr>
          <w:color w:val="000000"/>
          <w:spacing w:val="2"/>
          <w:sz w:val="20"/>
          <w:szCs w:val="20"/>
        </w:rPr>
        <w:t xml:space="preserve">медициналық бұйымдар сақталады және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тасымалданады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сақталуы қамтамасыз </w:t>
      </w:r>
      <w:proofErr w:type="spellStart"/>
      <w:r w:rsidRPr="004D4388">
        <w:rPr>
          <w:color w:val="000000"/>
          <w:spacing w:val="2"/>
          <w:sz w:val="20"/>
          <w:szCs w:val="20"/>
        </w:rPr>
        <w:t>етілетін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жағдайларда олардың қауіпсіздігін, </w:t>
      </w:r>
      <w:proofErr w:type="spellStart"/>
      <w:r w:rsidRPr="004D4388">
        <w:rPr>
          <w:color w:val="000000"/>
          <w:spacing w:val="2"/>
          <w:sz w:val="20"/>
          <w:szCs w:val="20"/>
        </w:rPr>
        <w:t>тиімділігін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сапасын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Ережелеріне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сақтау медициналық бұйымдардың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денсаулық сақтау саласындағы уәкілетті орган;</w:t>
      </w:r>
      <w:proofErr w:type="gramEnd"/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медицинских изделий, утвержденными уполномоченным органом в области здравоохранения;</w:t>
      </w:r>
    </w:p>
    <w:p w:rsidR="001933EF" w:rsidRPr="004D4388" w:rsidRDefault="001933EF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таңбалауды, тұтыну </w:t>
      </w:r>
      <w:proofErr w:type="spellStart"/>
      <w:r w:rsidRPr="004D4388">
        <w:rPr>
          <w:color w:val="000000"/>
          <w:spacing w:val="2"/>
          <w:sz w:val="20"/>
          <w:szCs w:val="20"/>
        </w:rPr>
        <w:t>орамы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мен нұсқаулықты медициналық бұйымдарды қолдану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келетін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4D438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заңнамасының </w:t>
      </w:r>
      <w:proofErr w:type="spellStart"/>
      <w:r w:rsidRPr="004D4388">
        <w:rPr>
          <w:color w:val="000000"/>
          <w:spacing w:val="2"/>
          <w:sz w:val="20"/>
          <w:szCs w:val="20"/>
        </w:rPr>
        <w:t>талаптарына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Pr="004D438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тәртіпке денсаулық сақтау саласындағы </w:t>
      </w:r>
      <w:proofErr w:type="gramStart"/>
      <w:r w:rsidRPr="004D4388">
        <w:rPr>
          <w:color w:val="000000"/>
          <w:spacing w:val="2"/>
          <w:sz w:val="20"/>
          <w:szCs w:val="20"/>
        </w:rPr>
        <w:t>у</w:t>
      </w:r>
      <w:proofErr w:type="gramEnd"/>
      <w:r w:rsidRPr="004D4388">
        <w:rPr>
          <w:color w:val="000000"/>
          <w:spacing w:val="2"/>
          <w:sz w:val="20"/>
          <w:szCs w:val="20"/>
        </w:rPr>
        <w:t>әкілетті орган;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маркировка, потребительская упаковка и инструкция по применению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</w:p>
    <w:p w:rsidR="00922070" w:rsidRPr="004D4388" w:rsidRDefault="00922070" w:rsidP="0092207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5" w:lineRule="atLeast"/>
        <w:ind w:left="0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жарамдылық </w:t>
      </w:r>
      <w:proofErr w:type="spellStart"/>
      <w:r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бұйымдарды </w:t>
      </w:r>
      <w:proofErr w:type="spellStart"/>
      <w:r w:rsidRPr="004D4388">
        <w:rPr>
          <w:color w:val="000000"/>
          <w:spacing w:val="2"/>
          <w:sz w:val="20"/>
          <w:szCs w:val="20"/>
        </w:rPr>
        <w:t>жеткізу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күні өнім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тапсырыс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берушіге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құрайды:</w:t>
      </w:r>
    </w:p>
    <w:p w:rsidR="000E27F5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срок годности медицинских изделий на дату поставки поставщиком заказчику составляет: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кемінде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елу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проценті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</w:t>
      </w:r>
      <w:proofErr w:type="gramStart"/>
      <w:r w:rsidR="00922070" w:rsidRPr="004D4388">
        <w:rPr>
          <w:color w:val="000000"/>
          <w:spacing w:val="2"/>
          <w:sz w:val="20"/>
          <w:szCs w:val="20"/>
        </w:rPr>
        <w:t>м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>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емес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>);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</w:t>
      </w:r>
      <w:r w:rsidR="000E27F5" w:rsidRPr="004D4388">
        <w:rPr>
          <w:color w:val="000000"/>
          <w:spacing w:val="2"/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922070" w:rsidRPr="004D4388" w:rsidRDefault="000E27F5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</w:t>
      </w:r>
      <w:r w:rsidR="00922070" w:rsidRPr="004D4388">
        <w:rPr>
          <w:color w:val="000000"/>
          <w:spacing w:val="2"/>
          <w:sz w:val="20"/>
          <w:szCs w:val="20"/>
        </w:rPr>
        <w:t xml:space="preserve">кем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дегенде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он </w:t>
      </w:r>
      <w:proofErr w:type="spellStart"/>
      <w:proofErr w:type="gram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ай</w:t>
      </w:r>
      <w:proofErr w:type="gram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ішінде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көрсетілген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орамада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кезінде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жарамдылық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мерзімі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екі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жыл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және </w:t>
      </w:r>
      <w:proofErr w:type="spellStart"/>
      <w:r w:rsidR="00922070" w:rsidRPr="004D4388">
        <w:rPr>
          <w:color w:val="000000"/>
          <w:spacing w:val="2"/>
          <w:sz w:val="20"/>
          <w:szCs w:val="20"/>
        </w:rPr>
        <w:t>одан</w:t>
      </w:r>
      <w:proofErr w:type="spellEnd"/>
      <w:r w:rsidR="00922070" w:rsidRPr="004D4388">
        <w:rPr>
          <w:color w:val="000000"/>
          <w:spacing w:val="2"/>
          <w:sz w:val="20"/>
          <w:szCs w:val="20"/>
        </w:rPr>
        <w:t xml:space="preserve">  да көп);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</w:t>
      </w:r>
      <w:r w:rsidR="000E27F5" w:rsidRPr="004D4388">
        <w:rPr>
          <w:color w:val="000000"/>
          <w:spacing w:val="2"/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 5</w:t>
      </w:r>
      <w:r w:rsidR="000E27F5" w:rsidRPr="004D4388">
        <w:rPr>
          <w:color w:val="000000"/>
          <w:spacing w:val="2"/>
          <w:sz w:val="20"/>
          <w:szCs w:val="20"/>
        </w:rPr>
        <w:t>)</w:t>
      </w:r>
      <w:r w:rsidRPr="004D4388">
        <w:rPr>
          <w:sz w:val="20"/>
          <w:szCs w:val="20"/>
        </w:rPr>
        <w:t xml:space="preserve">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өз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сипаттамасында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 сәйкес </w:t>
      </w:r>
      <w:proofErr w:type="spellStart"/>
      <w:r w:rsidRPr="004D4388">
        <w:rPr>
          <w:color w:val="000000"/>
          <w:spacing w:val="2"/>
          <w:sz w:val="20"/>
          <w:szCs w:val="20"/>
        </w:rPr>
        <w:t>болуы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(жинақтау), қайта жабдықтауға) шақыруда 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сатып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алу</w:t>
      </w:r>
      <w:proofErr w:type="spellEnd"/>
      <w:r w:rsidRPr="004D4388">
        <w:rPr>
          <w:color w:val="000000"/>
          <w:spacing w:val="2"/>
          <w:sz w:val="20"/>
          <w:szCs w:val="20"/>
        </w:rPr>
        <w:t>;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</w:t>
      </w:r>
      <w:r w:rsidR="000E27F5" w:rsidRPr="004D4388">
        <w:rPr>
          <w:color w:val="000000"/>
          <w:spacing w:val="2"/>
          <w:sz w:val="20"/>
          <w:szCs w:val="20"/>
        </w:rPr>
        <w:t xml:space="preserve"> медицинские изделия по своей характеристике (комплектации) должны соответствовать характеристике (комплектации), указанной в объявлении или приглашении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на</w:t>
      </w:r>
      <w:proofErr w:type="gramEnd"/>
      <w:r w:rsidR="000E27F5" w:rsidRPr="004D4388">
        <w:rPr>
          <w:color w:val="000000"/>
          <w:spacing w:val="2"/>
          <w:sz w:val="20"/>
          <w:szCs w:val="20"/>
        </w:rPr>
        <w:t xml:space="preserve"> закуп;</w:t>
      </w:r>
    </w:p>
    <w:p w:rsidR="00922070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>      6</w:t>
      </w:r>
      <w:r w:rsidR="000E27F5" w:rsidRPr="004D4388">
        <w:rPr>
          <w:color w:val="000000"/>
          <w:spacing w:val="2"/>
          <w:sz w:val="20"/>
          <w:szCs w:val="20"/>
        </w:rPr>
        <w:t xml:space="preserve">) </w:t>
      </w:r>
      <w:r w:rsidRPr="004D4388">
        <w:rPr>
          <w:color w:val="000000"/>
          <w:spacing w:val="2"/>
          <w:sz w:val="20"/>
          <w:szCs w:val="20"/>
        </w:rPr>
        <w:t xml:space="preserve">медициналық бұйымдар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әлеуетті өнім берушінің баға ұсынысына </w:t>
      </w:r>
      <w:proofErr w:type="spellStart"/>
      <w:r w:rsidRPr="004D4388">
        <w:rPr>
          <w:color w:val="000000"/>
          <w:spacing w:val="2"/>
          <w:sz w:val="20"/>
          <w:szCs w:val="20"/>
        </w:rPr>
        <w:t>аспауы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тиіс</w:t>
      </w:r>
      <w:proofErr w:type="spellEnd"/>
      <w:proofErr w:type="gram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шекті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бағалар </w:t>
      </w:r>
      <w:proofErr w:type="spellStart"/>
      <w:r w:rsidRPr="004D4388">
        <w:rPr>
          <w:color w:val="000000"/>
          <w:spacing w:val="2"/>
          <w:sz w:val="20"/>
          <w:szCs w:val="20"/>
        </w:rPr>
        <w:t>бойынша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халықаралық непатентованному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және (</w:t>
      </w:r>
      <w:proofErr w:type="spellStart"/>
      <w:r w:rsidRPr="004D4388">
        <w:rPr>
          <w:color w:val="000000"/>
          <w:spacing w:val="2"/>
          <w:sz w:val="20"/>
          <w:szCs w:val="20"/>
        </w:rPr>
        <w:t>немесе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) саудалық </w:t>
      </w:r>
      <w:proofErr w:type="spellStart"/>
      <w:r w:rsidRPr="004D4388">
        <w:rPr>
          <w:color w:val="000000"/>
          <w:spacing w:val="2"/>
          <w:sz w:val="20"/>
          <w:szCs w:val="20"/>
        </w:rPr>
        <w:t>атауы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4D438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тәртіпте, уәкілетті орган айқындаған денсаулық сақтау саласындағы </w:t>
      </w:r>
      <w:proofErr w:type="spellStart"/>
      <w:r w:rsidRPr="004D4388">
        <w:rPr>
          <w:color w:val="000000"/>
          <w:spacing w:val="2"/>
          <w:sz w:val="20"/>
          <w:szCs w:val="20"/>
        </w:rPr>
        <w:t>реттеу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қағидаларына сәйкес бағалардың медициналық бұйымдар шеңберінде </w:t>
      </w:r>
      <w:proofErr w:type="spellStart"/>
      <w:r w:rsidRPr="004D4388">
        <w:rPr>
          <w:color w:val="000000"/>
          <w:spacing w:val="2"/>
          <w:sz w:val="20"/>
          <w:szCs w:val="20"/>
        </w:rPr>
        <w:t>тегін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медициналық көмектің </w:t>
      </w:r>
      <w:proofErr w:type="spellStart"/>
      <w:r w:rsidRPr="004D4388">
        <w:rPr>
          <w:color w:val="000000"/>
          <w:spacing w:val="2"/>
          <w:sz w:val="20"/>
          <w:szCs w:val="20"/>
        </w:rPr>
        <w:t>кепілді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көлемін және </w:t>
      </w:r>
      <w:proofErr w:type="spellStart"/>
      <w:proofErr w:type="gramStart"/>
      <w:r w:rsidRPr="004D4388">
        <w:rPr>
          <w:color w:val="000000"/>
          <w:spacing w:val="2"/>
          <w:sz w:val="20"/>
          <w:szCs w:val="20"/>
        </w:rPr>
        <w:t>м</w:t>
      </w:r>
      <w:proofErr w:type="gramEnd"/>
      <w:r w:rsidRPr="004D4388">
        <w:rPr>
          <w:color w:val="000000"/>
          <w:spacing w:val="2"/>
          <w:sz w:val="20"/>
          <w:szCs w:val="20"/>
        </w:rPr>
        <w:t>індетті</w:t>
      </w:r>
      <w:proofErr w:type="spellEnd"/>
      <w:r w:rsidRPr="004D4388">
        <w:rPr>
          <w:color w:val="000000"/>
          <w:spacing w:val="2"/>
          <w:sz w:val="20"/>
          <w:szCs w:val="20"/>
        </w:rPr>
        <w:t xml:space="preserve"> әлеуметтік медициналық сақтандыру.</w:t>
      </w:r>
    </w:p>
    <w:p w:rsidR="000E27F5" w:rsidRPr="004D4388" w:rsidRDefault="00922070" w:rsidP="0092207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4D4388">
        <w:rPr>
          <w:color w:val="000000"/>
          <w:spacing w:val="2"/>
          <w:sz w:val="20"/>
          <w:szCs w:val="20"/>
        </w:rPr>
        <w:t xml:space="preserve">         </w:t>
      </w:r>
      <w:proofErr w:type="gramStart"/>
      <w:r w:rsidR="000E27F5" w:rsidRPr="004D4388">
        <w:rPr>
          <w:color w:val="000000"/>
          <w:spacing w:val="2"/>
          <w:sz w:val="20"/>
          <w:szCs w:val="20"/>
        </w:rPr>
        <w:t>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0E6BAE" w:rsidRDefault="000E6BAE" w:rsidP="0092207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22EC8" w:rsidRDefault="00F22EC8" w:rsidP="00F22E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 дәрігер                                                Е. Әбуғалиев</w:t>
      </w:r>
    </w:p>
    <w:p w:rsidR="00654E81" w:rsidRDefault="00654E81" w:rsidP="00F22EC8">
      <w:pPr>
        <w:rPr>
          <w:rFonts w:ascii="Times New Roman" w:hAnsi="Times New Roman" w:cs="Times New Roman"/>
          <w:b/>
          <w:bCs/>
        </w:rPr>
      </w:pPr>
    </w:p>
    <w:sectPr w:rsidR="00654E81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051"/>
    <w:multiLevelType w:val="hybridMultilevel"/>
    <w:tmpl w:val="EA068B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F6973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504A8A"/>
    <w:multiLevelType w:val="hybridMultilevel"/>
    <w:tmpl w:val="57502F1E"/>
    <w:lvl w:ilvl="0" w:tplc="BAA02038">
      <w:start w:val="1"/>
      <w:numFmt w:val="decimal"/>
      <w:lvlText w:val="%1."/>
      <w:lvlJc w:val="left"/>
      <w:pPr>
        <w:ind w:left="4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C45ECE"/>
    <w:multiLevelType w:val="hybridMultilevel"/>
    <w:tmpl w:val="85EAEE96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4">
    <w:nsid w:val="2474200B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4E62"/>
    <w:multiLevelType w:val="hybridMultilevel"/>
    <w:tmpl w:val="A2F88E5A"/>
    <w:lvl w:ilvl="0" w:tplc="04190005">
      <w:start w:val="1"/>
      <w:numFmt w:val="bullet"/>
      <w:lvlText w:val="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B5F22"/>
    <w:multiLevelType w:val="hybridMultilevel"/>
    <w:tmpl w:val="B26674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BF7C92"/>
    <w:multiLevelType w:val="hybridMultilevel"/>
    <w:tmpl w:val="6D9C84A4"/>
    <w:lvl w:ilvl="0" w:tplc="10480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448"/>
    <w:rsid w:val="00043126"/>
    <w:rsid w:val="0005215F"/>
    <w:rsid w:val="000547BE"/>
    <w:rsid w:val="00070453"/>
    <w:rsid w:val="000E27F5"/>
    <w:rsid w:val="000E6BAE"/>
    <w:rsid w:val="001933EF"/>
    <w:rsid w:val="00227D8F"/>
    <w:rsid w:val="0030085D"/>
    <w:rsid w:val="00305D18"/>
    <w:rsid w:val="003434B2"/>
    <w:rsid w:val="00392B6D"/>
    <w:rsid w:val="00412F3A"/>
    <w:rsid w:val="00412FE2"/>
    <w:rsid w:val="00453F23"/>
    <w:rsid w:val="00483948"/>
    <w:rsid w:val="004B32B1"/>
    <w:rsid w:val="004D4388"/>
    <w:rsid w:val="005033A9"/>
    <w:rsid w:val="005401C0"/>
    <w:rsid w:val="005460BD"/>
    <w:rsid w:val="00547589"/>
    <w:rsid w:val="0064040F"/>
    <w:rsid w:val="00654E81"/>
    <w:rsid w:val="006949C4"/>
    <w:rsid w:val="006E0D55"/>
    <w:rsid w:val="00733E1B"/>
    <w:rsid w:val="00881EC5"/>
    <w:rsid w:val="008C03C0"/>
    <w:rsid w:val="00922070"/>
    <w:rsid w:val="009A47EF"/>
    <w:rsid w:val="009C3A7A"/>
    <w:rsid w:val="009D3DC2"/>
    <w:rsid w:val="009E0F40"/>
    <w:rsid w:val="00A6244D"/>
    <w:rsid w:val="00A65922"/>
    <w:rsid w:val="00A77A9B"/>
    <w:rsid w:val="00A9562A"/>
    <w:rsid w:val="00AC3448"/>
    <w:rsid w:val="00AC3D60"/>
    <w:rsid w:val="00AD3C54"/>
    <w:rsid w:val="00B034BC"/>
    <w:rsid w:val="00B3178A"/>
    <w:rsid w:val="00B916B3"/>
    <w:rsid w:val="00C03BBB"/>
    <w:rsid w:val="00C21D29"/>
    <w:rsid w:val="00C76509"/>
    <w:rsid w:val="00CB5E8E"/>
    <w:rsid w:val="00D61645"/>
    <w:rsid w:val="00DD125F"/>
    <w:rsid w:val="00E2286F"/>
    <w:rsid w:val="00F174B2"/>
    <w:rsid w:val="00F22EC8"/>
    <w:rsid w:val="00FF2CD9"/>
    <w:rsid w:val="00FF7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48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AC34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34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AC3448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AC344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pt">
    <w:name w:val="Основной текст (2) + 9 pt;Полужирный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AC344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AC34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AC3448"/>
  </w:style>
  <w:style w:type="paragraph" w:customStyle="1" w:styleId="western">
    <w:name w:val="western"/>
    <w:basedOn w:val="a"/>
    <w:rsid w:val="00AC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83948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8394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8394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8">
    <w:name w:val="Hyperlink"/>
    <w:basedOn w:val="a0"/>
    <w:uiPriority w:val="99"/>
    <w:semiHidden/>
    <w:unhideWhenUsed/>
    <w:rsid w:val="00412F3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12F3A"/>
    <w:rPr>
      <w:color w:val="800080"/>
      <w:u w:val="single"/>
    </w:rPr>
  </w:style>
  <w:style w:type="paragraph" w:customStyle="1" w:styleId="xl63">
    <w:name w:val="xl6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12F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12F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12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12F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412F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12F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45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53F2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53F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53F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53F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pt0">
    <w:name w:val="Основной текст (2) + 9 pt"/>
    <w:aliases w:val="Полужирный"/>
    <w:basedOn w:val="a0"/>
    <w:rsid w:val="00654E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character" w:customStyle="1" w:styleId="24">
    <w:name w:val="Основной текст (2) + 4"/>
    <w:aliases w:val="5 pt"/>
    <w:basedOn w:val="a0"/>
    <w:rsid w:val="00654E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9"/>
      <w:szCs w:val="9"/>
      <w:u w:val="none"/>
      <w:effect w:val="none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ilet.zan.kz/rus/docs/K090000193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E739-2DF8-4935-957B-48E125A5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35</cp:revision>
  <dcterms:created xsi:type="dcterms:W3CDTF">2018-03-03T04:05:00Z</dcterms:created>
  <dcterms:modified xsi:type="dcterms:W3CDTF">2019-12-06T06:20:00Z</dcterms:modified>
</cp:coreProperties>
</file>